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E33960" w14:textId="77777777" w:rsidR="00484A1F" w:rsidRDefault="00484A1F" w:rsidP="00BC786E">
      <w:pPr>
        <w:spacing w:after="120"/>
        <w:ind w:left="-567"/>
        <w:jc w:val="center"/>
        <w:rPr>
          <w:rFonts w:ascii="Arial" w:hAnsi="Arial" w:cs="Arial"/>
          <w:sz w:val="22"/>
          <w:szCs w:val="22"/>
        </w:rPr>
      </w:pPr>
    </w:p>
    <w:p w14:paraId="7A4D06EE" w14:textId="77777777" w:rsidR="00484A1F" w:rsidRDefault="00484A1F" w:rsidP="00BC786E">
      <w:pPr>
        <w:spacing w:after="120"/>
        <w:ind w:left="-567"/>
        <w:jc w:val="center"/>
        <w:rPr>
          <w:rFonts w:ascii="Arial" w:hAnsi="Arial" w:cs="Arial"/>
          <w:sz w:val="22"/>
          <w:szCs w:val="22"/>
        </w:rPr>
      </w:pPr>
    </w:p>
    <w:p w14:paraId="13CF59E2" w14:textId="77777777" w:rsidR="00484A1F" w:rsidRDefault="00484A1F" w:rsidP="00BC786E">
      <w:pPr>
        <w:spacing w:after="120"/>
        <w:ind w:left="-567"/>
        <w:jc w:val="center"/>
        <w:rPr>
          <w:rFonts w:ascii="Arial" w:hAnsi="Arial" w:cs="Arial"/>
          <w:sz w:val="22"/>
          <w:szCs w:val="22"/>
        </w:rPr>
      </w:pPr>
    </w:p>
    <w:p w14:paraId="6FCA79C7" w14:textId="77777777" w:rsidR="00484A1F" w:rsidRPr="00DD4D8E" w:rsidRDefault="00484A1F" w:rsidP="00BC786E">
      <w:pPr>
        <w:spacing w:after="120"/>
        <w:ind w:left="-567"/>
        <w:jc w:val="center"/>
        <w:rPr>
          <w:rFonts w:ascii="Arial" w:hAnsi="Arial" w:cs="Arial"/>
        </w:rPr>
      </w:pPr>
    </w:p>
    <w:p w14:paraId="50873FB0" w14:textId="77777777" w:rsidR="00484A1F" w:rsidRPr="001731B1" w:rsidRDefault="00484A1F" w:rsidP="00BC786E">
      <w:pPr>
        <w:spacing w:after="120"/>
        <w:rPr>
          <w:rFonts w:ascii="Arial" w:hAnsi="Arial" w:cs="Arial"/>
          <w:sz w:val="24"/>
          <w:szCs w:val="24"/>
        </w:rPr>
      </w:pPr>
    </w:p>
    <w:p w14:paraId="51E10042" w14:textId="77777777" w:rsidR="00DD4D8E" w:rsidRPr="00121D67" w:rsidRDefault="00DD4D8E" w:rsidP="00BC786E">
      <w:pPr>
        <w:spacing w:after="120"/>
        <w:rPr>
          <w:rFonts w:ascii="Arial" w:hAnsi="Arial" w:cs="Arial"/>
          <w:sz w:val="24"/>
          <w:szCs w:val="24"/>
          <w:u w:val="single"/>
        </w:rPr>
      </w:pPr>
    </w:p>
    <w:p w14:paraId="564B9DC4" w14:textId="213A8720" w:rsidR="00BC786E" w:rsidRPr="00121D67" w:rsidRDefault="00484A1F" w:rsidP="00121D67">
      <w:pPr>
        <w:spacing w:after="120"/>
        <w:ind w:left="-567"/>
        <w:jc w:val="center"/>
        <w:rPr>
          <w:rFonts w:ascii="Arial" w:hAnsi="Arial" w:cs="Arial"/>
          <w:b/>
          <w:sz w:val="28"/>
          <w:szCs w:val="28"/>
          <w:u w:val="single"/>
        </w:rPr>
      </w:pPr>
      <w:r w:rsidRPr="00121D67">
        <w:rPr>
          <w:rFonts w:ascii="Arial" w:hAnsi="Arial" w:cs="Arial"/>
          <w:b/>
          <w:sz w:val="28"/>
          <w:szCs w:val="28"/>
          <w:u w:val="single"/>
        </w:rPr>
        <w:t>GÜNDEM</w:t>
      </w:r>
    </w:p>
    <w:p w14:paraId="118E3179" w14:textId="77777777" w:rsidR="00121D67" w:rsidRPr="00121D67" w:rsidRDefault="00121D67" w:rsidP="00121D67">
      <w:pPr>
        <w:spacing w:after="120"/>
        <w:ind w:left="-567"/>
        <w:jc w:val="center"/>
        <w:rPr>
          <w:rFonts w:ascii="Arial" w:hAnsi="Arial" w:cs="Arial"/>
          <w:b/>
          <w:sz w:val="22"/>
          <w:szCs w:val="22"/>
          <w:u w:val="single"/>
        </w:rPr>
      </w:pPr>
    </w:p>
    <w:p w14:paraId="2828EF81" w14:textId="59984F2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 xml:space="preserve">Açılış ve saygı duruşu, </w:t>
      </w:r>
    </w:p>
    <w:p w14:paraId="4578F544" w14:textId="265FFFD4" w:rsidR="00A22965" w:rsidRPr="00D64FAF" w:rsidRDefault="00D64FAF" w:rsidP="00D64FAF">
      <w:pPr>
        <w:pStyle w:val="ListeParagraf"/>
        <w:numPr>
          <w:ilvl w:val="0"/>
          <w:numId w:val="2"/>
        </w:numPr>
        <w:spacing w:after="120" w:line="360" w:lineRule="auto"/>
        <w:jc w:val="both"/>
        <w:rPr>
          <w:rFonts w:ascii="Arial" w:hAnsi="Arial" w:cs="Arial"/>
          <w:sz w:val="22"/>
          <w:szCs w:val="22"/>
        </w:rPr>
      </w:pPr>
      <w:r>
        <w:rPr>
          <w:rFonts w:ascii="Arial" w:hAnsi="Arial" w:cs="Arial"/>
          <w:sz w:val="22"/>
          <w:szCs w:val="22"/>
        </w:rPr>
        <w:t>T</w:t>
      </w:r>
      <w:r w:rsidRPr="00A22965">
        <w:rPr>
          <w:rFonts w:ascii="Arial" w:hAnsi="Arial" w:cs="Arial"/>
          <w:sz w:val="22"/>
          <w:szCs w:val="22"/>
        </w:rPr>
        <w:t>oplantı divan heyeti seçimi,</w:t>
      </w:r>
      <w:r>
        <w:rPr>
          <w:rFonts w:ascii="Arial" w:hAnsi="Arial" w:cs="Arial"/>
          <w:sz w:val="22"/>
          <w:szCs w:val="22"/>
        </w:rPr>
        <w:t xml:space="preserve"> d</w:t>
      </w:r>
      <w:r w:rsidR="00A22965" w:rsidRPr="00D64FAF">
        <w:rPr>
          <w:rFonts w:ascii="Arial" w:hAnsi="Arial" w:cs="Arial"/>
          <w:sz w:val="22"/>
          <w:szCs w:val="22"/>
        </w:rPr>
        <w:t>ivan heyetinin toplantı tutanaklarını imzalamaya yetkili kılınması.</w:t>
      </w:r>
    </w:p>
    <w:p w14:paraId="4C65FD88"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 xml:space="preserve">Perpa Ticaret Merkezi B Blok Kat Malikleri Yöneticiliğinin (B Blok Temsilciler Kurulunun) 2024 yılı faaliyet raporunun, 2024 yılı bilanço – gelir gider hesapları ile 2024 yılı denetim kurulu raporunun ayrı ayrı okunması, müzakeresi ve kabulü için ayrı ayrı oylanması, yönetim kurulu ve denetim kurulunun ibra edilmesi hususlarının ayrı ayrı oylanması, </w:t>
      </w:r>
    </w:p>
    <w:p w14:paraId="7FBC1D59"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 xml:space="preserve">Perpa Ticaret Merkezi Kat Malikleri Temsilciler Üst Kurulunun (Üst Yönetim Kurulu) 2024 yılı faaliyet raporunun, 2024 yılı bilanço – gelir gider hesaplarının ve 2024 yılı denetim kurulu raporunun ayrı ayrı okunması, müzakeresi ve kabulü için ayrı ayrı oylanması, üst yönetim kurulu ve üst denetim kurulunun ibra edilmesi hususlarının ayrı ayrı oylanması, </w:t>
      </w:r>
    </w:p>
    <w:p w14:paraId="6EBEE274"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Perpa Ticaret Merkezi B Blok için hazırlanmış olan 01.01.2025-31.12.2025 dönemine ilişkin 2025 yılı İşletme Projesinin, İşletme Proje Talimatının ve ödeme takviminin müzakeresi ve karara bağlanması.</w:t>
      </w:r>
    </w:p>
    <w:p w14:paraId="2C02778D"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Perpa Ticaret Merkezi Kat Malikleri Temsilciler Üst Kurulu için hazırlanmış olan 01.01.2025-31.12.2025 dönemine ilişkin 2025 yılı İşletme Projesinin ve İşletme Proje Talimatının müzakeresi ve karara bağlanması.</w:t>
      </w:r>
    </w:p>
    <w:p w14:paraId="75B115FD"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Perpa Ticaret Merkezi ortak alanlarını işgal eden kat malikleri ve kiracılarına uygulanacak yaptırımların (Otopark abonelik iptali, ısıtma soğutma hizmetlerinin durdurulması, para cezası verilmesi vb ) görüşülmesi ve yaptırımları uygulama konusunda Perpa Ticaret Merkezi Kat Malikleri Temsilciler Üst Yönetim  kuruluna görev ve yetki verilmesi hususlarının karara bağlanması.</w:t>
      </w:r>
    </w:p>
    <w:p w14:paraId="25A58CD6" w14:textId="77777777" w:rsid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27 Haziran 2024 tarihinde yapılan Perpa Ticaret Merkezi B Blok Olağanüstü Genel Kurul Toplantısında alınan karar gereğince 01.01.2019 ila 30.06.2024 dönemlerine ait B Blok Kat Malikleri yönetiminin tüm hesap ve işlemlerinin incelenmek üzere oluşturulan “Hesap Tetkik Komisyonunun” hazırlamış olduğu denetim ve inceleme raporunun genel kurula okunması.</w:t>
      </w:r>
    </w:p>
    <w:p w14:paraId="5B18C662" w14:textId="77777777" w:rsidR="00A22965" w:rsidRPr="00A22965" w:rsidRDefault="00A22965" w:rsidP="00A22965">
      <w:pPr>
        <w:pStyle w:val="ListeParagraf"/>
        <w:numPr>
          <w:ilvl w:val="0"/>
          <w:numId w:val="2"/>
        </w:numPr>
        <w:spacing w:after="120" w:line="360" w:lineRule="auto"/>
        <w:jc w:val="both"/>
        <w:rPr>
          <w:rFonts w:ascii="Arial" w:hAnsi="Arial" w:cs="Arial"/>
          <w:sz w:val="22"/>
          <w:szCs w:val="22"/>
        </w:rPr>
      </w:pPr>
      <w:r w:rsidRPr="00A22965">
        <w:rPr>
          <w:rFonts w:ascii="Arial" w:hAnsi="Arial" w:cs="Arial"/>
          <w:sz w:val="22"/>
          <w:szCs w:val="22"/>
        </w:rPr>
        <w:t>Dilekler ve Kapanış.</w:t>
      </w:r>
    </w:p>
    <w:p w14:paraId="2B193DCA" w14:textId="77777777" w:rsidR="00484A1F" w:rsidRPr="00A22965" w:rsidRDefault="00484A1F" w:rsidP="00A22965">
      <w:pPr>
        <w:spacing w:after="120" w:line="360" w:lineRule="auto"/>
        <w:rPr>
          <w:sz w:val="32"/>
          <w:szCs w:val="32"/>
        </w:rPr>
      </w:pPr>
    </w:p>
    <w:sectPr w:rsidR="00484A1F" w:rsidRPr="00A22965" w:rsidSect="00A22965">
      <w:pgSz w:w="11906" w:h="16838"/>
      <w:pgMar w:top="142" w:right="1274" w:bottom="28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762EA6"/>
    <w:multiLevelType w:val="hybridMultilevel"/>
    <w:tmpl w:val="23E2D822"/>
    <w:lvl w:ilvl="0" w:tplc="C832D2BE">
      <w:start w:val="1"/>
      <w:numFmt w:val="decimal"/>
      <w:lvlText w:val="%1-"/>
      <w:lvlJc w:val="left"/>
      <w:pPr>
        <w:ind w:left="720" w:hanging="360"/>
      </w:pPr>
      <w:rPr>
        <w:rFonts w:ascii="Arial" w:eastAsia="Times New Roman" w:hAnsi="Arial" w:cs="Arial"/>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261418B"/>
    <w:multiLevelType w:val="hybridMultilevel"/>
    <w:tmpl w:val="486CC210"/>
    <w:lvl w:ilvl="0" w:tplc="5B8443CA">
      <w:start w:val="1"/>
      <w:numFmt w:val="decimal"/>
      <w:lvlText w:val="%1-"/>
      <w:lvlJc w:val="left"/>
      <w:pPr>
        <w:ind w:left="-207" w:hanging="360"/>
      </w:pPr>
      <w:rPr>
        <w:rFonts w:hint="default"/>
        <w:b/>
      </w:rPr>
    </w:lvl>
    <w:lvl w:ilvl="1" w:tplc="041F0019" w:tentative="1">
      <w:start w:val="1"/>
      <w:numFmt w:val="lowerLetter"/>
      <w:lvlText w:val="%2."/>
      <w:lvlJc w:val="left"/>
      <w:pPr>
        <w:ind w:left="513" w:hanging="360"/>
      </w:pPr>
    </w:lvl>
    <w:lvl w:ilvl="2" w:tplc="041F001B" w:tentative="1">
      <w:start w:val="1"/>
      <w:numFmt w:val="lowerRoman"/>
      <w:lvlText w:val="%3."/>
      <w:lvlJc w:val="right"/>
      <w:pPr>
        <w:ind w:left="1233" w:hanging="180"/>
      </w:pPr>
    </w:lvl>
    <w:lvl w:ilvl="3" w:tplc="041F000F" w:tentative="1">
      <w:start w:val="1"/>
      <w:numFmt w:val="decimal"/>
      <w:lvlText w:val="%4."/>
      <w:lvlJc w:val="left"/>
      <w:pPr>
        <w:ind w:left="1953" w:hanging="360"/>
      </w:pPr>
    </w:lvl>
    <w:lvl w:ilvl="4" w:tplc="041F0019" w:tentative="1">
      <w:start w:val="1"/>
      <w:numFmt w:val="lowerLetter"/>
      <w:lvlText w:val="%5."/>
      <w:lvlJc w:val="left"/>
      <w:pPr>
        <w:ind w:left="2673" w:hanging="360"/>
      </w:pPr>
    </w:lvl>
    <w:lvl w:ilvl="5" w:tplc="041F001B" w:tentative="1">
      <w:start w:val="1"/>
      <w:numFmt w:val="lowerRoman"/>
      <w:lvlText w:val="%6."/>
      <w:lvlJc w:val="right"/>
      <w:pPr>
        <w:ind w:left="3393" w:hanging="180"/>
      </w:pPr>
    </w:lvl>
    <w:lvl w:ilvl="6" w:tplc="041F000F" w:tentative="1">
      <w:start w:val="1"/>
      <w:numFmt w:val="decimal"/>
      <w:lvlText w:val="%7."/>
      <w:lvlJc w:val="left"/>
      <w:pPr>
        <w:ind w:left="4113" w:hanging="360"/>
      </w:pPr>
    </w:lvl>
    <w:lvl w:ilvl="7" w:tplc="041F0019" w:tentative="1">
      <w:start w:val="1"/>
      <w:numFmt w:val="lowerLetter"/>
      <w:lvlText w:val="%8."/>
      <w:lvlJc w:val="left"/>
      <w:pPr>
        <w:ind w:left="4833" w:hanging="360"/>
      </w:pPr>
    </w:lvl>
    <w:lvl w:ilvl="8" w:tplc="041F001B" w:tentative="1">
      <w:start w:val="1"/>
      <w:numFmt w:val="lowerRoman"/>
      <w:lvlText w:val="%9."/>
      <w:lvlJc w:val="right"/>
      <w:pPr>
        <w:ind w:left="5553" w:hanging="180"/>
      </w:pPr>
    </w:lvl>
  </w:abstractNum>
  <w:num w:numId="1" w16cid:durableId="438640782">
    <w:abstractNumId w:val="1"/>
  </w:num>
  <w:num w:numId="2" w16cid:durableId="1228108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1F"/>
    <w:rsid w:val="000C11C9"/>
    <w:rsid w:val="00121D67"/>
    <w:rsid w:val="00137602"/>
    <w:rsid w:val="001731B1"/>
    <w:rsid w:val="001A2F4B"/>
    <w:rsid w:val="00280085"/>
    <w:rsid w:val="003871F1"/>
    <w:rsid w:val="0045487A"/>
    <w:rsid w:val="00484A1F"/>
    <w:rsid w:val="005048F2"/>
    <w:rsid w:val="00504F9F"/>
    <w:rsid w:val="006A68F8"/>
    <w:rsid w:val="007F74D9"/>
    <w:rsid w:val="008763A2"/>
    <w:rsid w:val="009B7003"/>
    <w:rsid w:val="00A22965"/>
    <w:rsid w:val="00A45C4D"/>
    <w:rsid w:val="00A46588"/>
    <w:rsid w:val="00B7750E"/>
    <w:rsid w:val="00BC786E"/>
    <w:rsid w:val="00BD45B7"/>
    <w:rsid w:val="00BE5B77"/>
    <w:rsid w:val="00CE545D"/>
    <w:rsid w:val="00D0476B"/>
    <w:rsid w:val="00D64FAF"/>
    <w:rsid w:val="00DD4D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1933C"/>
  <w15:chartTrackingRefBased/>
  <w15:docId w15:val="{E8E5A332-E879-441D-87DC-6A4C822C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A1F"/>
    <w:pPr>
      <w:spacing w:after="0" w:line="240" w:lineRule="auto"/>
    </w:pPr>
    <w:rPr>
      <w:rFonts w:ascii="Times New Roman" w:eastAsia="Times New Roman" w:hAnsi="Times New Roman" w:cs="Times New Roman"/>
      <w:kern w:val="0"/>
      <w:sz w:val="20"/>
      <w:szCs w:val="20"/>
      <w:lang w:eastAsia="tr-TR"/>
      <w14:ligatures w14:val="none"/>
    </w:rPr>
  </w:style>
  <w:style w:type="paragraph" w:styleId="Balk1">
    <w:name w:val="heading 1"/>
    <w:basedOn w:val="Normal"/>
    <w:next w:val="Normal"/>
    <w:link w:val="Balk1Char"/>
    <w:uiPriority w:val="9"/>
    <w:qFormat/>
    <w:rsid w:val="00484A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484A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484A1F"/>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484A1F"/>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484A1F"/>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484A1F"/>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84A1F"/>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84A1F"/>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84A1F"/>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84A1F"/>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484A1F"/>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484A1F"/>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484A1F"/>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484A1F"/>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484A1F"/>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84A1F"/>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84A1F"/>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84A1F"/>
    <w:rPr>
      <w:rFonts w:eastAsiaTheme="majorEastAsia" w:cstheme="majorBidi"/>
      <w:color w:val="272727" w:themeColor="text1" w:themeTint="D8"/>
    </w:rPr>
  </w:style>
  <w:style w:type="paragraph" w:styleId="KonuBal">
    <w:name w:val="Title"/>
    <w:basedOn w:val="Normal"/>
    <w:next w:val="Normal"/>
    <w:link w:val="KonuBalChar"/>
    <w:uiPriority w:val="10"/>
    <w:qFormat/>
    <w:rsid w:val="00484A1F"/>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84A1F"/>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84A1F"/>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84A1F"/>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84A1F"/>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484A1F"/>
    <w:rPr>
      <w:i/>
      <w:iCs/>
      <w:color w:val="404040" w:themeColor="text1" w:themeTint="BF"/>
    </w:rPr>
  </w:style>
  <w:style w:type="paragraph" w:styleId="ListeParagraf">
    <w:name w:val="List Paragraph"/>
    <w:basedOn w:val="Normal"/>
    <w:uiPriority w:val="34"/>
    <w:qFormat/>
    <w:rsid w:val="00484A1F"/>
    <w:pPr>
      <w:ind w:left="720"/>
      <w:contextualSpacing/>
    </w:pPr>
  </w:style>
  <w:style w:type="character" w:styleId="GlVurgulama">
    <w:name w:val="Intense Emphasis"/>
    <w:basedOn w:val="VarsaylanParagrafYazTipi"/>
    <w:uiPriority w:val="21"/>
    <w:qFormat/>
    <w:rsid w:val="00484A1F"/>
    <w:rPr>
      <w:i/>
      <w:iCs/>
      <w:color w:val="0F4761" w:themeColor="accent1" w:themeShade="BF"/>
    </w:rPr>
  </w:style>
  <w:style w:type="paragraph" w:styleId="GlAlnt">
    <w:name w:val="Intense Quote"/>
    <w:basedOn w:val="Normal"/>
    <w:next w:val="Normal"/>
    <w:link w:val="GlAlntChar"/>
    <w:uiPriority w:val="30"/>
    <w:qFormat/>
    <w:rsid w:val="00484A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484A1F"/>
    <w:rPr>
      <w:i/>
      <w:iCs/>
      <w:color w:val="0F4761" w:themeColor="accent1" w:themeShade="BF"/>
    </w:rPr>
  </w:style>
  <w:style w:type="character" w:styleId="GlBavuru">
    <w:name w:val="Intense Reference"/>
    <w:basedOn w:val="VarsaylanParagrafYazTipi"/>
    <w:uiPriority w:val="32"/>
    <w:qFormat/>
    <w:rsid w:val="00484A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299</Words>
  <Characters>1708</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NURCAN COŞKUN</dc:creator>
  <cp:keywords/>
  <dc:description/>
  <cp:lastModifiedBy>NURCAN</cp:lastModifiedBy>
  <cp:revision>4</cp:revision>
  <cp:lastPrinted>2025-01-07T15:52:00Z</cp:lastPrinted>
  <dcterms:created xsi:type="dcterms:W3CDTF">2025-01-15T09:02:00Z</dcterms:created>
  <dcterms:modified xsi:type="dcterms:W3CDTF">2025-01-15T10:00:00Z</dcterms:modified>
</cp:coreProperties>
</file>